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30EAD" w14:textId="77777777" w:rsidR="00450872" w:rsidRDefault="00450872" w:rsidP="00450872">
      <w:pPr>
        <w:jc w:val="center"/>
        <w:rPr>
          <w:lang w:val="en-US"/>
        </w:rPr>
      </w:pPr>
      <w:bookmarkStart w:id="0" w:name="_GoBack"/>
      <w:bookmarkEnd w:id="0"/>
    </w:p>
    <w:p w14:paraId="4EC1F0E5" w14:textId="77777777" w:rsidR="00450872" w:rsidRDefault="00450872" w:rsidP="00450872">
      <w:pPr>
        <w:jc w:val="center"/>
        <w:rPr>
          <w:lang w:val="en-US"/>
        </w:rPr>
      </w:pPr>
    </w:p>
    <w:p w14:paraId="12B714AC" w14:textId="77777777" w:rsidR="00450872" w:rsidRDefault="00450872" w:rsidP="00450872">
      <w:pPr>
        <w:jc w:val="center"/>
        <w:rPr>
          <w:lang w:val="en-US"/>
        </w:rPr>
      </w:pPr>
    </w:p>
    <w:p w14:paraId="77732EB7" w14:textId="77777777" w:rsidR="00450872" w:rsidRDefault="00450872" w:rsidP="00450872">
      <w:pPr>
        <w:jc w:val="center"/>
        <w:rPr>
          <w:lang w:val="en-US"/>
        </w:rPr>
      </w:pPr>
    </w:p>
    <w:p w14:paraId="1DB2104F" w14:textId="77777777" w:rsidR="00450872" w:rsidRDefault="00450872" w:rsidP="00450872">
      <w:pPr>
        <w:jc w:val="center"/>
        <w:rPr>
          <w:lang w:val="en-US"/>
        </w:rPr>
      </w:pPr>
    </w:p>
    <w:p w14:paraId="4DC4E5C5" w14:textId="77777777" w:rsidR="00450872" w:rsidRDefault="00450872" w:rsidP="00450872">
      <w:pPr>
        <w:jc w:val="center"/>
        <w:rPr>
          <w:lang w:val="en-US"/>
        </w:rPr>
      </w:pPr>
    </w:p>
    <w:p w14:paraId="0BDC109A" w14:textId="77777777" w:rsidR="00450872" w:rsidRDefault="00450872" w:rsidP="00450872">
      <w:pPr>
        <w:jc w:val="center"/>
        <w:rPr>
          <w:lang w:val="en-US"/>
        </w:rPr>
      </w:pPr>
    </w:p>
    <w:p w14:paraId="7FF0E860" w14:textId="77777777" w:rsidR="00450872" w:rsidRDefault="00450872" w:rsidP="00450872">
      <w:pPr>
        <w:jc w:val="center"/>
        <w:rPr>
          <w:lang w:val="en-US"/>
        </w:rPr>
      </w:pPr>
    </w:p>
    <w:p w14:paraId="6ACCDF53" w14:textId="77777777" w:rsidR="00450872" w:rsidRDefault="00450872" w:rsidP="00450872">
      <w:pPr>
        <w:jc w:val="center"/>
        <w:rPr>
          <w:lang w:val="en-US"/>
        </w:rPr>
      </w:pPr>
    </w:p>
    <w:p w14:paraId="3525EB03" w14:textId="77777777" w:rsidR="00450872" w:rsidRDefault="00450872" w:rsidP="00450872">
      <w:pPr>
        <w:jc w:val="center"/>
        <w:rPr>
          <w:lang w:val="en-US"/>
        </w:rPr>
      </w:pPr>
    </w:p>
    <w:p w14:paraId="761BC06F" w14:textId="77777777" w:rsidR="00450872" w:rsidRDefault="00450872" w:rsidP="00450872">
      <w:pPr>
        <w:jc w:val="center"/>
        <w:rPr>
          <w:lang w:val="en-US"/>
        </w:rPr>
      </w:pPr>
    </w:p>
    <w:p w14:paraId="4FFCAEEF" w14:textId="77777777" w:rsidR="00450872" w:rsidRDefault="00450872" w:rsidP="00450872">
      <w:pPr>
        <w:jc w:val="center"/>
        <w:rPr>
          <w:lang w:val="en-US"/>
        </w:rPr>
      </w:pPr>
    </w:p>
    <w:p w14:paraId="6332312D" w14:textId="77777777" w:rsidR="00450872" w:rsidRDefault="00450872" w:rsidP="00450872">
      <w:pPr>
        <w:jc w:val="center"/>
        <w:rPr>
          <w:lang w:val="en-US"/>
        </w:rPr>
      </w:pPr>
    </w:p>
    <w:p w14:paraId="6406678A" w14:textId="2BCFEFE0" w:rsidR="001E312A" w:rsidRDefault="00EE63EB" w:rsidP="00450872">
      <w:pPr>
        <w:jc w:val="center"/>
        <w:rPr>
          <w:lang w:val="en-US"/>
        </w:rPr>
      </w:pPr>
      <w:r w:rsidRPr="00450872">
        <w:rPr>
          <w:lang w:val="en-US"/>
        </w:rPr>
        <w:t xml:space="preserve">Forensic Psychology Professional Working </w:t>
      </w:r>
      <w:r>
        <w:rPr>
          <w:lang w:val="en-US"/>
        </w:rPr>
        <w:t>i</w:t>
      </w:r>
      <w:r w:rsidRPr="00450872">
        <w:rPr>
          <w:lang w:val="en-US"/>
        </w:rPr>
        <w:t xml:space="preserve">n </w:t>
      </w:r>
      <w:r>
        <w:rPr>
          <w:lang w:val="en-US"/>
        </w:rPr>
        <w:t>a</w:t>
      </w:r>
      <w:r w:rsidRPr="00450872">
        <w:rPr>
          <w:lang w:val="en-US"/>
        </w:rPr>
        <w:t xml:space="preserve"> Court Setting</w:t>
      </w:r>
    </w:p>
    <w:p w14:paraId="62994CA3" w14:textId="3B4C139E" w:rsidR="00450872" w:rsidRDefault="00EE63EB" w:rsidP="00450872">
      <w:pPr>
        <w:jc w:val="center"/>
        <w:rPr>
          <w:lang w:val="en-US"/>
        </w:rPr>
      </w:pPr>
      <w:r>
        <w:rPr>
          <w:lang w:val="en-US"/>
        </w:rPr>
        <w:t>Name</w:t>
      </w:r>
    </w:p>
    <w:p w14:paraId="3BB89360" w14:textId="17956C28" w:rsidR="00450872" w:rsidRDefault="00EE63EB" w:rsidP="00450872">
      <w:pPr>
        <w:jc w:val="center"/>
        <w:rPr>
          <w:lang w:val="en-US"/>
        </w:rPr>
      </w:pPr>
      <w:r>
        <w:rPr>
          <w:lang w:val="en-US"/>
        </w:rPr>
        <w:t>Institution</w:t>
      </w:r>
    </w:p>
    <w:p w14:paraId="5A630815" w14:textId="2439E765" w:rsidR="00450872" w:rsidRDefault="00450872" w:rsidP="00450872">
      <w:pPr>
        <w:jc w:val="center"/>
        <w:rPr>
          <w:lang w:val="en-US"/>
        </w:rPr>
      </w:pPr>
    </w:p>
    <w:p w14:paraId="5C6ED865" w14:textId="23707834" w:rsidR="00450872" w:rsidRDefault="00450872" w:rsidP="00450872">
      <w:pPr>
        <w:jc w:val="center"/>
        <w:rPr>
          <w:lang w:val="en-US"/>
        </w:rPr>
      </w:pPr>
    </w:p>
    <w:p w14:paraId="2CC030BE" w14:textId="641AB84C" w:rsidR="00450872" w:rsidRDefault="00450872" w:rsidP="00450872">
      <w:pPr>
        <w:jc w:val="center"/>
        <w:rPr>
          <w:lang w:val="en-US"/>
        </w:rPr>
      </w:pPr>
    </w:p>
    <w:p w14:paraId="701D1C30" w14:textId="27CF62D0" w:rsidR="00450872" w:rsidRDefault="00450872" w:rsidP="00450872">
      <w:pPr>
        <w:jc w:val="center"/>
        <w:rPr>
          <w:lang w:val="en-US"/>
        </w:rPr>
      </w:pPr>
    </w:p>
    <w:p w14:paraId="5A0E8553" w14:textId="7A1DB118" w:rsidR="00450872" w:rsidRDefault="00450872" w:rsidP="00450872">
      <w:pPr>
        <w:jc w:val="center"/>
        <w:rPr>
          <w:lang w:val="en-US"/>
        </w:rPr>
      </w:pPr>
    </w:p>
    <w:p w14:paraId="601FCDCB" w14:textId="3F26CA20" w:rsidR="00450872" w:rsidRDefault="00450872" w:rsidP="00450872">
      <w:pPr>
        <w:jc w:val="center"/>
        <w:rPr>
          <w:lang w:val="en-US"/>
        </w:rPr>
      </w:pPr>
    </w:p>
    <w:p w14:paraId="4E24FE3F" w14:textId="7C3AA1CE" w:rsidR="00450872" w:rsidRDefault="00450872" w:rsidP="00450872">
      <w:pPr>
        <w:jc w:val="center"/>
        <w:rPr>
          <w:lang w:val="en-US"/>
        </w:rPr>
      </w:pPr>
    </w:p>
    <w:p w14:paraId="705E63C1" w14:textId="7025D022" w:rsidR="00450872" w:rsidRDefault="00450872" w:rsidP="00450872">
      <w:pPr>
        <w:jc w:val="center"/>
        <w:rPr>
          <w:lang w:val="en-US"/>
        </w:rPr>
      </w:pPr>
    </w:p>
    <w:p w14:paraId="75AE8D47" w14:textId="446ED068" w:rsidR="00450872" w:rsidRDefault="00450872" w:rsidP="00450872">
      <w:pPr>
        <w:jc w:val="center"/>
        <w:rPr>
          <w:lang w:val="en-US"/>
        </w:rPr>
      </w:pPr>
    </w:p>
    <w:p w14:paraId="6A3E0A1C" w14:textId="6916B653" w:rsidR="00450872" w:rsidRDefault="00450872" w:rsidP="00450872">
      <w:pPr>
        <w:jc w:val="center"/>
        <w:rPr>
          <w:lang w:val="en-US"/>
        </w:rPr>
      </w:pPr>
    </w:p>
    <w:p w14:paraId="275D8C69" w14:textId="4AE04E18" w:rsidR="00450872" w:rsidRDefault="00450872" w:rsidP="00450872">
      <w:pPr>
        <w:jc w:val="center"/>
        <w:rPr>
          <w:lang w:val="en-US"/>
        </w:rPr>
      </w:pPr>
    </w:p>
    <w:p w14:paraId="1A20C02B" w14:textId="7578F61A" w:rsidR="00450872" w:rsidRDefault="00450872" w:rsidP="00450872">
      <w:pPr>
        <w:jc w:val="center"/>
        <w:rPr>
          <w:lang w:val="en-US"/>
        </w:rPr>
      </w:pPr>
    </w:p>
    <w:p w14:paraId="3C864466" w14:textId="05FAC7C3" w:rsidR="00450872" w:rsidRDefault="00450872" w:rsidP="00450872">
      <w:pPr>
        <w:jc w:val="center"/>
        <w:rPr>
          <w:lang w:val="en-US"/>
        </w:rPr>
      </w:pPr>
    </w:p>
    <w:p w14:paraId="00CE3AFE" w14:textId="02B9C9C4" w:rsidR="00450872" w:rsidRDefault="00450872" w:rsidP="00450872">
      <w:pPr>
        <w:jc w:val="center"/>
        <w:rPr>
          <w:lang w:val="en-US"/>
        </w:rPr>
      </w:pPr>
    </w:p>
    <w:p w14:paraId="49504B65" w14:textId="7C47A809" w:rsidR="00E37C43" w:rsidRDefault="00EE63EB" w:rsidP="00450872">
      <w:pPr>
        <w:spacing w:line="480" w:lineRule="auto"/>
        <w:ind w:firstLine="720"/>
        <w:jc w:val="both"/>
        <w:rPr>
          <w:lang w:val="en-US"/>
        </w:rPr>
      </w:pPr>
      <w:r>
        <w:rPr>
          <w:lang w:val="en-US"/>
        </w:rPr>
        <w:lastRenderedPageBreak/>
        <w:t xml:space="preserve">The juror verdicts are influenced by different elements other the available evidence and the constitution which contains laws that are used to determine these cases. Thus it is essential to understand the psychological perspective as well as other factors which define better outcomes. The integration of different factors in the decision made by the jury is based on various elements which are essential in improving the </w:t>
      </w:r>
      <w:r w:rsidR="002A165A">
        <w:rPr>
          <w:lang w:val="en-US"/>
        </w:rPr>
        <w:t>validity</w:t>
      </w:r>
      <w:r>
        <w:rPr>
          <w:lang w:val="en-US"/>
        </w:rPr>
        <w:t xml:space="preserve"> of the decision. A trial </w:t>
      </w:r>
      <w:r w:rsidR="002A165A">
        <w:rPr>
          <w:lang w:val="en-US"/>
        </w:rPr>
        <w:t>p</w:t>
      </w:r>
      <w:r>
        <w:rPr>
          <w:lang w:val="en-US"/>
        </w:rPr>
        <w:t xml:space="preserve">rocess that attracts public interest is always difficult to </w:t>
      </w:r>
      <w:r w:rsidR="00F64FCA">
        <w:rPr>
          <w:lang w:val="en-US"/>
        </w:rPr>
        <w:t>execute</w:t>
      </w:r>
      <w:r w:rsidR="002A165A">
        <w:rPr>
          <w:lang w:val="en-US"/>
        </w:rPr>
        <w:t xml:space="preserve"> considering the significant </w:t>
      </w:r>
      <w:r w:rsidR="00F64FCA">
        <w:rPr>
          <w:lang w:val="en-US"/>
        </w:rPr>
        <w:t>scrutiny</w:t>
      </w:r>
      <w:r w:rsidR="002A165A">
        <w:rPr>
          <w:lang w:val="en-US"/>
        </w:rPr>
        <w:t xml:space="preserve">, especially from the media. The jury, in this case, is usually under pressure to ensure that there is a conviction. The </w:t>
      </w:r>
      <w:r w:rsidR="00F64FCA">
        <w:rPr>
          <w:lang w:val="en-US"/>
        </w:rPr>
        <w:t>prosecution</w:t>
      </w:r>
      <w:r w:rsidR="002A165A">
        <w:rPr>
          <w:lang w:val="en-US"/>
        </w:rPr>
        <w:t xml:space="preserve"> also has a significant pressure especially considering that it has the responsibility of ensuring that there is a conviction</w:t>
      </w:r>
      <w:r w:rsidR="001E312A">
        <w:rPr>
          <w:lang w:val="en-US"/>
        </w:rPr>
        <w:t xml:space="preserve"> (</w:t>
      </w:r>
      <w:r w:rsidR="001E312A" w:rsidRPr="001E312A">
        <w:t>Barker</w:t>
      </w:r>
      <w:r w:rsidR="001E312A">
        <w:rPr>
          <w:lang w:val="en-US"/>
        </w:rPr>
        <w:t xml:space="preserve"> </w:t>
      </w:r>
      <w:r w:rsidR="001E312A" w:rsidRPr="001E312A">
        <w:t>&amp; Branson, 2014). </w:t>
      </w:r>
    </w:p>
    <w:p w14:paraId="581181F5" w14:textId="47893FFA" w:rsidR="002A165A" w:rsidRDefault="00EE63EB" w:rsidP="00450872">
      <w:pPr>
        <w:spacing w:line="480" w:lineRule="auto"/>
        <w:ind w:firstLine="720"/>
        <w:jc w:val="both"/>
        <w:rPr>
          <w:lang w:val="en-US"/>
        </w:rPr>
      </w:pPr>
      <w:r>
        <w:rPr>
          <w:lang w:val="en-US"/>
        </w:rPr>
        <w:t xml:space="preserve">The forensic psychology professionals are highly engaged in this case with a significant focus on the development within the court process including evidence assessment. Being at a high pressure </w:t>
      </w:r>
      <w:r w:rsidR="00F64FCA">
        <w:rPr>
          <w:lang w:val="en-US"/>
        </w:rPr>
        <w:t>means</w:t>
      </w:r>
      <w:r>
        <w:rPr>
          <w:lang w:val="en-US"/>
        </w:rPr>
        <w:t xml:space="preserve"> that it is likely to include invalid information which can help in creating a highly effective understanding ion the court proceedings</w:t>
      </w:r>
      <w:r w:rsidR="001E312A">
        <w:rPr>
          <w:lang w:val="en-US"/>
        </w:rPr>
        <w:t xml:space="preserve"> (</w:t>
      </w:r>
      <w:r w:rsidR="001E312A" w:rsidRPr="001E312A">
        <w:t>Melton</w:t>
      </w:r>
      <w:r w:rsidR="001E312A">
        <w:rPr>
          <w:lang w:val="en-US"/>
        </w:rPr>
        <w:t xml:space="preserve"> et al., 2017). </w:t>
      </w:r>
      <w:r>
        <w:rPr>
          <w:lang w:val="en-US"/>
        </w:rPr>
        <w:t xml:space="preserve">Forensic psychologist </w:t>
      </w:r>
      <w:r w:rsidR="00F64FCA">
        <w:rPr>
          <w:lang w:val="en-US"/>
        </w:rPr>
        <w:t>profession</w:t>
      </w:r>
      <w:r>
        <w:rPr>
          <w:lang w:val="en-US"/>
        </w:rPr>
        <w:t xml:space="preserve"> evaluates the forensic evidence that is included in the court proceeding and assesses its vali</w:t>
      </w:r>
      <w:r w:rsidR="00F64FCA">
        <w:rPr>
          <w:lang w:val="en-US"/>
        </w:rPr>
        <w:t>di</w:t>
      </w:r>
      <w:r>
        <w:rPr>
          <w:lang w:val="en-US"/>
        </w:rPr>
        <w:t xml:space="preserve">ty and ability to influence the </w:t>
      </w:r>
      <w:r w:rsidR="00F64FCA">
        <w:rPr>
          <w:lang w:val="en-US"/>
        </w:rPr>
        <w:t>decision</w:t>
      </w:r>
      <w:r>
        <w:rPr>
          <w:lang w:val="en-US"/>
        </w:rPr>
        <w:t xml:space="preserve"> that is made by the jury. Having an accurate assessment </w:t>
      </w:r>
      <w:r w:rsidR="00F64FCA">
        <w:rPr>
          <w:lang w:val="en-US"/>
        </w:rPr>
        <w:t>of the evidence ensures that the jury has an easy task in establishing fundamental changes which help in making an accurate determination of a case regardless of the pressure from the public and media.</w:t>
      </w:r>
    </w:p>
    <w:p w14:paraId="533F966C" w14:textId="2E3D2F2D" w:rsidR="00F64FCA" w:rsidRDefault="00EE63EB" w:rsidP="00450872">
      <w:pPr>
        <w:spacing w:line="480" w:lineRule="auto"/>
        <w:ind w:firstLine="720"/>
        <w:jc w:val="both"/>
        <w:rPr>
          <w:lang w:val="en-US"/>
        </w:rPr>
      </w:pPr>
      <w:r>
        <w:rPr>
          <w:lang w:val="en-US"/>
        </w:rPr>
        <w:t xml:space="preserve">The eyewitness evidence needs to be cross-examined in understanding effectively whether the eyewitness has an actual account of the events that are being evaluated in the trial process. The forensic psychologists professional have the </w:t>
      </w:r>
      <w:r w:rsidR="001E312A">
        <w:rPr>
          <w:lang w:val="en-US"/>
        </w:rPr>
        <w:t>knowledge</w:t>
      </w:r>
      <w:r>
        <w:rPr>
          <w:lang w:val="en-US"/>
        </w:rPr>
        <w:t xml:space="preserve"> and skills to identify </w:t>
      </w:r>
      <w:r w:rsidR="001E312A">
        <w:rPr>
          <w:lang w:val="en-US"/>
        </w:rPr>
        <w:t>the accuracy of the information that is being provided by the eyewitness (</w:t>
      </w:r>
      <w:r w:rsidR="001E312A" w:rsidRPr="001E312A">
        <w:t>Trepper &amp; Davis, 2014). </w:t>
      </w:r>
    </w:p>
    <w:p w14:paraId="56C84397" w14:textId="39604E11" w:rsidR="001E312A" w:rsidRDefault="001E312A">
      <w:pPr>
        <w:rPr>
          <w:lang w:val="en-US"/>
        </w:rPr>
      </w:pPr>
    </w:p>
    <w:p w14:paraId="3E9FBD97" w14:textId="1139146A" w:rsidR="00450872" w:rsidRDefault="00450872">
      <w:pPr>
        <w:rPr>
          <w:lang w:val="en-US"/>
        </w:rPr>
      </w:pPr>
    </w:p>
    <w:p w14:paraId="55D0CFB8" w14:textId="77777777" w:rsidR="00450872" w:rsidRDefault="00450872">
      <w:pPr>
        <w:rPr>
          <w:lang w:val="en-US"/>
        </w:rPr>
      </w:pPr>
    </w:p>
    <w:p w14:paraId="38D11DAF" w14:textId="46BD9BF0" w:rsidR="001E312A" w:rsidRDefault="00EE63EB" w:rsidP="00450872">
      <w:pPr>
        <w:jc w:val="center"/>
        <w:rPr>
          <w:lang w:val="en-US"/>
        </w:rPr>
      </w:pPr>
      <w:r>
        <w:rPr>
          <w:lang w:val="en-US"/>
        </w:rPr>
        <w:lastRenderedPageBreak/>
        <w:t>References</w:t>
      </w:r>
    </w:p>
    <w:p w14:paraId="49FCD004" w14:textId="77777777" w:rsidR="00450872" w:rsidRDefault="00EE63EB" w:rsidP="00450872">
      <w:pPr>
        <w:spacing w:line="480" w:lineRule="auto"/>
        <w:ind w:left="720" w:hanging="720"/>
      </w:pPr>
      <w:r w:rsidRPr="001E312A">
        <w:t>Barker, R. L., &amp; Branson, D. M. (2014). </w:t>
      </w:r>
      <w:r w:rsidRPr="001E312A">
        <w:rPr>
          <w:i/>
          <w:iCs/>
        </w:rPr>
        <w:t>Forensic social work: Legal aspects of professional practice</w:t>
      </w:r>
      <w:r w:rsidRPr="001E312A">
        <w:t>. Routledge.</w:t>
      </w:r>
    </w:p>
    <w:p w14:paraId="02C4FD74" w14:textId="77777777" w:rsidR="00450872" w:rsidRDefault="00EE63EB" w:rsidP="00450872">
      <w:pPr>
        <w:spacing w:line="480" w:lineRule="auto"/>
        <w:ind w:left="720" w:hanging="720"/>
      </w:pPr>
      <w:r w:rsidRPr="001E312A">
        <w:t>Melton, G. B., Petrila, J., Poythress, N. G., Slobogin, C., Otto, R. K., Mossman, D., &amp; Condie, L. O. (2017). </w:t>
      </w:r>
      <w:r w:rsidRPr="001E312A">
        <w:rPr>
          <w:i/>
          <w:iCs/>
        </w:rPr>
        <w:t>Psychological evaluations for the courts: A handbook for mental health professionals and lawyers</w:t>
      </w:r>
      <w:r w:rsidRPr="001E312A">
        <w:t>. Guilford Publications.</w:t>
      </w:r>
    </w:p>
    <w:p w14:paraId="5A3BF001" w14:textId="77777777" w:rsidR="00450872" w:rsidRDefault="00EE63EB" w:rsidP="00450872">
      <w:pPr>
        <w:spacing w:line="480" w:lineRule="auto"/>
        <w:ind w:left="720" w:hanging="720"/>
      </w:pPr>
      <w:r w:rsidRPr="001E312A">
        <w:t>Trepper, T. S., &amp; Davis, R. D. (2014). </w:t>
      </w:r>
      <w:r w:rsidRPr="001E312A">
        <w:rPr>
          <w:i/>
          <w:iCs/>
        </w:rPr>
        <w:t>A handbook for psychological fitness-for-duty evaluations in law enforcement</w:t>
      </w:r>
      <w:r w:rsidRPr="001E312A">
        <w:t>. Routledge.</w:t>
      </w:r>
    </w:p>
    <w:p w14:paraId="0234EE65" w14:textId="77777777" w:rsidR="001E312A" w:rsidRDefault="001E312A">
      <w:pPr>
        <w:rPr>
          <w:lang w:val="en-US"/>
        </w:rPr>
      </w:pPr>
    </w:p>
    <w:p w14:paraId="61C78E75" w14:textId="77777777" w:rsidR="001E312A" w:rsidRPr="00E81DCC" w:rsidRDefault="001E312A">
      <w:pPr>
        <w:rPr>
          <w:lang w:val="en-US"/>
        </w:rPr>
      </w:pPr>
    </w:p>
    <w:sectPr w:rsidR="001E312A" w:rsidRPr="00E81DCC" w:rsidSect="0045087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36517" w14:textId="77777777" w:rsidR="002F4008" w:rsidRDefault="002F4008">
      <w:pPr>
        <w:spacing w:after="0" w:line="240" w:lineRule="auto"/>
      </w:pPr>
      <w:r>
        <w:separator/>
      </w:r>
    </w:p>
  </w:endnote>
  <w:endnote w:type="continuationSeparator" w:id="0">
    <w:p w14:paraId="688121F6" w14:textId="77777777" w:rsidR="002F4008" w:rsidRDefault="002F4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11908D" w14:textId="77777777" w:rsidR="002F4008" w:rsidRDefault="002F4008">
      <w:pPr>
        <w:spacing w:after="0" w:line="240" w:lineRule="auto"/>
      </w:pPr>
      <w:r>
        <w:separator/>
      </w:r>
    </w:p>
  </w:footnote>
  <w:footnote w:type="continuationSeparator" w:id="0">
    <w:p w14:paraId="5B39D3B6" w14:textId="77777777" w:rsidR="002F4008" w:rsidRDefault="002F40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D40F4" w14:textId="1A7448B6" w:rsidR="00450872" w:rsidRDefault="00EE63EB">
    <w:pPr>
      <w:pStyle w:val="Header"/>
      <w:jc w:val="right"/>
    </w:pPr>
    <w:r w:rsidRPr="00450872">
      <w:rPr>
        <w:lang w:val="en-US"/>
      </w:rPr>
      <w:t>FORENSIC PSYCHOLOGY PROFESSIONAL IN A COURT SETTING</w:t>
    </w:r>
    <w:r w:rsidRPr="00450872">
      <w:t xml:space="preserve"> </w:t>
    </w:r>
    <w:r w:rsidRPr="00450872">
      <w:rPr>
        <w:lang w:val="en-US"/>
      </w:rPr>
      <w:t xml:space="preserve"> </w:t>
    </w:r>
    <w:r>
      <w:rPr>
        <w:lang w:val="en-US"/>
      </w:rPr>
      <w:t xml:space="preserve">                           </w:t>
    </w:r>
    <w:sdt>
      <w:sdtPr>
        <w:id w:val="-867641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0CB7139" w14:textId="77777777" w:rsidR="00450872" w:rsidRDefault="00450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CEBA" w14:textId="111D5BD1" w:rsidR="00450872" w:rsidRDefault="00EE63EB">
    <w:pPr>
      <w:pStyle w:val="Header"/>
      <w:jc w:val="right"/>
    </w:pPr>
    <w:r>
      <w:rPr>
        <w:lang w:val="en-US"/>
      </w:rPr>
      <w:t xml:space="preserve">Running head: </w:t>
    </w:r>
    <w:r w:rsidRPr="00450872">
      <w:rPr>
        <w:lang w:val="en-US"/>
      </w:rPr>
      <w:t xml:space="preserve">FORENSIC PSYCHOLOGY PROFESSIONAL </w:t>
    </w:r>
    <w:r>
      <w:rPr>
        <w:lang w:val="en-US"/>
      </w:rPr>
      <w:t xml:space="preserve">IN </w:t>
    </w:r>
    <w:r w:rsidRPr="00450872">
      <w:rPr>
        <w:lang w:val="en-US"/>
      </w:rPr>
      <w:t>A COURT SETTING</w:t>
    </w:r>
    <w:r w:rsidRPr="00450872">
      <w:t xml:space="preserve"> </w:t>
    </w:r>
    <w:r>
      <w:rPr>
        <w:lang w:val="en-US"/>
      </w:rPr>
      <w:t xml:space="preserve"> </w:t>
    </w:r>
    <w:sdt>
      <w:sdtPr>
        <w:id w:val="3484746"/>
        <w:docPartObj>
          <w:docPartGallery w:val="Page Numbers (Top of Page)"/>
          <w:docPartUnique/>
        </w:docPartObj>
      </w:sdtPr>
      <w:sdtEndPr>
        <w:rPr>
          <w:noProof/>
        </w:rPr>
      </w:sdtEndPr>
      <w:sdtContent>
        <w:r>
          <w:rPr>
            <w:lang w:val="en-US"/>
          </w:rPr>
          <w:t xml:space="preserve"> </w:t>
        </w:r>
        <w:r>
          <w:fldChar w:fldCharType="begin"/>
        </w:r>
        <w:r>
          <w:instrText xml:space="preserve"> PAGE   \* MERGEFORMAT </w:instrText>
        </w:r>
        <w:r>
          <w:fldChar w:fldCharType="separate"/>
        </w:r>
        <w:r>
          <w:rPr>
            <w:noProof/>
          </w:rPr>
          <w:t>2</w:t>
        </w:r>
        <w:r>
          <w:rPr>
            <w:noProof/>
          </w:rPr>
          <w:fldChar w:fldCharType="end"/>
        </w:r>
      </w:sdtContent>
    </w:sdt>
  </w:p>
  <w:p w14:paraId="5D55C924" w14:textId="77777777" w:rsidR="00450872" w:rsidRDefault="004508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sbA0NTA3MzWyNDBW0lEKTi0uzszPAykwrAUAElcGfCwAAAA="/>
  </w:docVars>
  <w:rsids>
    <w:rsidRoot w:val="00E81DCC"/>
    <w:rsid w:val="001E312A"/>
    <w:rsid w:val="002A165A"/>
    <w:rsid w:val="002F4008"/>
    <w:rsid w:val="00450872"/>
    <w:rsid w:val="00875055"/>
    <w:rsid w:val="00C63676"/>
    <w:rsid w:val="00D15990"/>
    <w:rsid w:val="00E37C43"/>
    <w:rsid w:val="00E81DCC"/>
    <w:rsid w:val="00EE63EB"/>
    <w:rsid w:val="00F64FC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F66756-06C1-4B8D-A6D4-56438D68A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8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872"/>
  </w:style>
  <w:style w:type="paragraph" w:styleId="Footer">
    <w:name w:val="footer"/>
    <w:basedOn w:val="Normal"/>
    <w:link w:val="FooterChar"/>
    <w:uiPriority w:val="99"/>
    <w:unhideWhenUsed/>
    <w:rsid w:val="004508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2019-01-30T19:18:00Z</dcterms:created>
  <dcterms:modified xsi:type="dcterms:W3CDTF">2019-01-30T19:18:00Z</dcterms:modified>
</cp:coreProperties>
</file>